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74" w:rsidRDefault="004C2074" w:rsidP="004C2074">
      <w:pPr>
        <w:pStyle w:val="Overskrift1"/>
        <w:rPr>
          <w:rFonts w:eastAsia="Times New Roman"/>
        </w:rPr>
      </w:pPr>
      <w:r>
        <w:rPr>
          <w:rFonts w:eastAsia="Times New Roman"/>
        </w:rPr>
        <w:t>Clarin.dk WP 1 licensudvalg</w:t>
      </w:r>
    </w:p>
    <w:p w:rsidR="004C2074" w:rsidRPr="004C2074" w:rsidRDefault="004C2074" w:rsidP="004C2074">
      <w:pPr>
        <w:pStyle w:val="Overskrift2"/>
      </w:pPr>
      <w:r>
        <w:t xml:space="preserve">Referat af møde </w:t>
      </w:r>
      <w:r w:rsidRPr="004C2074">
        <w:t xml:space="preserve">18. marts 2011 14:00 - 16:00, Ole </w:t>
      </w:r>
      <w:proofErr w:type="spellStart"/>
      <w:r w:rsidRPr="004C2074">
        <w:t>Maaløes</w:t>
      </w:r>
      <w:proofErr w:type="spellEnd"/>
      <w:r w:rsidRPr="004C2074">
        <w:t xml:space="preserve"> Vej 3</w:t>
      </w:r>
    </w:p>
    <w:p w:rsidR="004C2074" w:rsidRDefault="004C2074" w:rsidP="004C2074"/>
    <w:p w:rsidR="004C2074" w:rsidRDefault="004C2074" w:rsidP="004C2074">
      <w:r>
        <w:t>Deltagere: Hanne Fersøe (HFE)</w:t>
      </w:r>
      <w:proofErr w:type="gramStart"/>
      <w:r>
        <w:t>,  Henriette</w:t>
      </w:r>
      <w:proofErr w:type="gramEnd"/>
      <w:r>
        <w:t xml:space="preserve"> Fenger Grønfeldt (HFG), Lars Trap-Jensen (LTJ), Anders Conrad (ASC, mødeleder og referent).</w:t>
      </w:r>
    </w:p>
    <w:p w:rsidR="004C2074" w:rsidRPr="004C2074" w:rsidRDefault="00FA2EDC" w:rsidP="004C2074">
      <w:r>
        <w:t>Afbud fra Bente Maegaard.</w:t>
      </w:r>
    </w:p>
    <w:p w:rsidR="004C2074" w:rsidRDefault="004C2074" w:rsidP="004C2074">
      <w:pPr>
        <w:numPr>
          <w:ilvl w:val="0"/>
          <w:numId w:val="1"/>
        </w:num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Godkendelse af dagsorden</w:t>
      </w:r>
    </w:p>
    <w:p w:rsidR="004C2074" w:rsidRDefault="004C2074">
      <w:pPr>
        <w:pStyle w:val="NormalWeb"/>
        <w:spacing w:before="0" w:beforeAutospacing="0" w:after="0" w:afterAutospacing="0"/>
        <w:ind w:left="464"/>
        <w:rPr>
          <w:rFonts w:ascii="Calibri" w:hAnsi="Calibri" w:cs="Calibri"/>
        </w:rPr>
      </w:pPr>
      <w:r>
        <w:rPr>
          <w:rFonts w:ascii="Calibri" w:hAnsi="Calibri" w:cs="Calibri"/>
        </w:rPr>
        <w:t>Den udsendte dagsorden blev godkendt.</w:t>
      </w:r>
    </w:p>
    <w:p w:rsidR="004C2074" w:rsidRDefault="004C2074">
      <w:pPr>
        <w:pStyle w:val="NormalWeb"/>
        <w:spacing w:before="0" w:beforeAutospacing="0" w:after="0" w:afterAutospacing="0"/>
        <w:ind w:left="464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4C2074" w:rsidRDefault="004C2074" w:rsidP="004C2074">
      <w:pPr>
        <w:numPr>
          <w:ilvl w:val="0"/>
          <w:numId w:val="2"/>
        </w:num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Status på godkendte dokumenter:</w:t>
      </w:r>
    </w:p>
    <w:p w:rsidR="004C2074" w:rsidRDefault="004C2074" w:rsidP="004C2074">
      <w:pPr>
        <w:numPr>
          <w:ilvl w:val="1"/>
          <w:numId w:val="3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Mindre rettelser til ACA og PUB: hvem, hvad og hvornår?</w:t>
      </w:r>
    </w:p>
    <w:p w:rsidR="006B551C" w:rsidRDefault="006B551C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</w:p>
    <w:p w:rsidR="004C2074" w:rsidRDefault="006B551C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LTJ har fremsendt nogle rettelser til HFG, og HFG vil tilrette i de godkendte versioner af dokumenterne.</w:t>
      </w:r>
      <w:r w:rsidR="004C207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Herefter skal de tilrettede dokumenter sendes til udvalget så de hurtigst muligt kan blive lagt ind i </w:t>
      </w:r>
      <w:proofErr w:type="spellStart"/>
      <w:r>
        <w:rPr>
          <w:rFonts w:ascii="Calibri" w:hAnsi="Calibri" w:cs="Calibri"/>
        </w:rPr>
        <w:t>repositoriet</w:t>
      </w:r>
      <w:proofErr w:type="spellEnd"/>
      <w:r>
        <w:rPr>
          <w:rFonts w:ascii="Calibri" w:hAnsi="Calibri" w:cs="Calibri"/>
        </w:rPr>
        <w:t xml:space="preserve"> og opdateret på projekthjemmesiden. Der er ikke tale om egentlige indholdsrettelser, men</w:t>
      </w:r>
      <w:r w:rsidR="004C2074">
        <w:rPr>
          <w:rFonts w:ascii="Calibri" w:hAnsi="Calibri" w:cs="Calibri"/>
        </w:rPr>
        <w:t xml:space="preserve"> alene konsekvensrettelser</w:t>
      </w:r>
      <w:r>
        <w:rPr>
          <w:rFonts w:ascii="Calibri" w:hAnsi="Calibri" w:cs="Calibri"/>
        </w:rPr>
        <w:t>,</w:t>
      </w:r>
      <w:r w:rsidR="004C2074">
        <w:rPr>
          <w:rFonts w:ascii="Calibri" w:hAnsi="Calibri" w:cs="Calibri"/>
        </w:rPr>
        <w:t xml:space="preserve"> og </w:t>
      </w:r>
      <w:r>
        <w:rPr>
          <w:rFonts w:ascii="Calibri" w:hAnsi="Calibri" w:cs="Calibri"/>
        </w:rPr>
        <w:t>udvalget</w:t>
      </w:r>
      <w:r w:rsidR="004C2074">
        <w:rPr>
          <w:rFonts w:ascii="Calibri" w:hAnsi="Calibri" w:cs="Calibri"/>
        </w:rPr>
        <w:t xml:space="preserve"> vurderer ikke at disse skal forelægges styregruppen.</w:t>
      </w:r>
    </w:p>
    <w:p w:rsidR="004C2074" w:rsidRDefault="004C2074" w:rsidP="00FA2EDC">
      <w:pPr>
        <w:pStyle w:val="NormalWeb"/>
        <w:numPr>
          <w:ilvl w:val="2"/>
          <w:numId w:val="3"/>
        </w:numPr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HF</w:t>
      </w:r>
      <w:r w:rsidR="006B551C">
        <w:rPr>
          <w:rFonts w:ascii="Calibri" w:hAnsi="Calibri" w:cs="Calibri"/>
        </w:rPr>
        <w:t>E sender de godkendte</w:t>
      </w:r>
      <w:r>
        <w:rPr>
          <w:rFonts w:ascii="Calibri" w:hAnsi="Calibri" w:cs="Calibri"/>
        </w:rPr>
        <w:t xml:space="preserve"> versioner til H</w:t>
      </w:r>
      <w:r w:rsidR="006B551C">
        <w:rPr>
          <w:rFonts w:ascii="Calibri" w:hAnsi="Calibri" w:cs="Calibri"/>
        </w:rPr>
        <w:t>FG</w:t>
      </w:r>
      <w:r>
        <w:rPr>
          <w:rFonts w:ascii="Calibri" w:hAnsi="Calibri" w:cs="Calibri"/>
        </w:rPr>
        <w:t>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4C2074" w:rsidRDefault="004C2074" w:rsidP="004C2074">
      <w:pPr>
        <w:numPr>
          <w:ilvl w:val="1"/>
          <w:numId w:val="4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Status på deponeringslicenser mv.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Der er enighed om at det var hele den fremlagte pakke der blev godkendt af styregruppen.</w:t>
      </w:r>
      <w:r w:rsidR="006B551C">
        <w:rPr>
          <w:rFonts w:ascii="Calibri" w:hAnsi="Calibri" w:cs="Calibri"/>
        </w:rPr>
        <w:t xml:space="preserve"> Deponeringslicenserne kan derfor betragtes som godkendt.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4C2074" w:rsidRDefault="004C2074" w:rsidP="004C2074">
      <w:pPr>
        <w:numPr>
          <w:ilvl w:val="1"/>
          <w:numId w:val="5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Hvornår skal der indgås en ”Data Processor Agreement”?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 xml:space="preserve">Det er udvalgets opfattelse at denne aftale kun skal indgås i forbindelse med personfølsomme data. Sådanne data skal under alle omstændigheder deponeres </w:t>
      </w:r>
      <w:r w:rsidR="006B551C">
        <w:rPr>
          <w:rFonts w:ascii="Calibri" w:hAnsi="Calibri" w:cs="Calibri"/>
        </w:rPr>
        <w:t xml:space="preserve">under </w:t>
      </w:r>
      <w:proofErr w:type="spellStart"/>
      <w:r w:rsidR="006B551C">
        <w:rPr>
          <w:rFonts w:ascii="Calibri" w:hAnsi="Calibri" w:cs="Calibri"/>
        </w:rPr>
        <w:t>REStricted</w:t>
      </w:r>
      <w:proofErr w:type="spellEnd"/>
      <w:r w:rsidR="006B551C">
        <w:rPr>
          <w:rFonts w:ascii="Calibri" w:hAnsi="Calibri" w:cs="Calibri"/>
        </w:rPr>
        <w:t xml:space="preserve"> licens efter en manuel procedure. Der vil derfor heller ikke blive noget automatiseret </w:t>
      </w:r>
      <w:proofErr w:type="spellStart"/>
      <w:r w:rsidR="006B551C">
        <w:rPr>
          <w:rFonts w:ascii="Calibri" w:hAnsi="Calibri" w:cs="Calibri"/>
        </w:rPr>
        <w:t>workflow</w:t>
      </w:r>
      <w:proofErr w:type="spellEnd"/>
      <w:r w:rsidR="006B551C">
        <w:rPr>
          <w:rFonts w:ascii="Calibri" w:hAnsi="Calibri" w:cs="Calibri"/>
        </w:rPr>
        <w:t xml:space="preserve"> for indgåelsen af Data Processor Agreement.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4C2074" w:rsidRDefault="004C2074" w:rsidP="004C2074">
      <w:pPr>
        <w:numPr>
          <w:ilvl w:val="0"/>
          <w:numId w:val="6"/>
        </w:num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Licenshåndtering (der er forslag fra ASC)</w:t>
      </w:r>
    </w:p>
    <w:p w:rsidR="006B551C" w:rsidRDefault="006B551C" w:rsidP="006B551C">
      <w:pPr>
        <w:spacing w:after="0" w:line="240" w:lineRule="auto"/>
        <w:textAlignment w:val="center"/>
        <w:rPr>
          <w:rFonts w:ascii="Calibri" w:eastAsia="Times New Roman" w:hAnsi="Calibri" w:cs="Calibri"/>
        </w:rPr>
      </w:pPr>
    </w:p>
    <w:p w:rsidR="006B551C" w:rsidRDefault="006B551C" w:rsidP="006B551C">
      <w:pPr>
        <w:spacing w:after="0" w:line="240" w:lineRule="auto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WP 5 har udarbejdet et forslag til specifikation af </w:t>
      </w:r>
      <w:proofErr w:type="spellStart"/>
      <w:r>
        <w:rPr>
          <w:rFonts w:ascii="Calibri" w:eastAsia="Times New Roman" w:hAnsi="Calibri" w:cs="Calibri"/>
        </w:rPr>
        <w:t>workflows</w:t>
      </w:r>
      <w:proofErr w:type="spellEnd"/>
      <w:r>
        <w:rPr>
          <w:rFonts w:ascii="Calibri" w:eastAsia="Times New Roman" w:hAnsi="Calibri" w:cs="Calibri"/>
        </w:rPr>
        <w:t xml:space="preserve"> til håndtering af hhv. deponerings og slutbrugerlicenser, se </w:t>
      </w:r>
      <w:hyperlink r:id="rId5" w:history="1">
        <w:r w:rsidRPr="0012147E">
          <w:rPr>
            <w:rStyle w:val="Hyperlink"/>
            <w:rFonts w:ascii="Calibri" w:eastAsia="Times New Roman" w:hAnsi="Calibri" w:cs="Calibri"/>
          </w:rPr>
          <w:t>http://devtools.clarin.dk/wiki/Licensh%C3%A5ndtering</w:t>
        </w:r>
      </w:hyperlink>
      <w:r>
        <w:rPr>
          <w:rFonts w:ascii="Calibri" w:eastAsia="Times New Roman" w:hAnsi="Calibri" w:cs="Calibri"/>
        </w:rPr>
        <w:t>.</w:t>
      </w:r>
    </w:p>
    <w:p w:rsidR="006B551C" w:rsidRDefault="006B551C" w:rsidP="006B551C">
      <w:pPr>
        <w:spacing w:after="0" w:line="240" w:lineRule="auto"/>
        <w:textAlignment w:val="center"/>
        <w:rPr>
          <w:rFonts w:ascii="Calibri" w:eastAsia="Times New Roman" w:hAnsi="Calibri" w:cs="Calibri"/>
        </w:rPr>
      </w:pPr>
    </w:p>
    <w:p w:rsidR="004C2074" w:rsidRDefault="004C2074" w:rsidP="004C2074">
      <w:pPr>
        <w:numPr>
          <w:ilvl w:val="1"/>
          <w:numId w:val="7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Indgåelse/accept af </w:t>
      </w:r>
      <w:proofErr w:type="spellStart"/>
      <w:r>
        <w:rPr>
          <w:rFonts w:ascii="Calibri" w:eastAsia="Times New Roman" w:hAnsi="Calibri" w:cs="Calibri"/>
        </w:rPr>
        <w:t>deponerinsaftaler</w:t>
      </w:r>
      <w:proofErr w:type="spellEnd"/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 xml:space="preserve">Det blev diskuteret om </w:t>
      </w:r>
      <w:r w:rsidR="006B551C">
        <w:rPr>
          <w:rFonts w:ascii="Calibri" w:hAnsi="Calibri" w:cs="Calibri"/>
        </w:rPr>
        <w:t xml:space="preserve">den foreslåede implicitte </w:t>
      </w:r>
      <w:r>
        <w:rPr>
          <w:rFonts w:ascii="Calibri" w:hAnsi="Calibri" w:cs="Calibri"/>
        </w:rPr>
        <w:t>logning</w:t>
      </w:r>
      <w:r w:rsidR="006B551C">
        <w:rPr>
          <w:rFonts w:ascii="Calibri" w:hAnsi="Calibri" w:cs="Calibri"/>
        </w:rPr>
        <w:t xml:space="preserve"> af aftalens indgåelse e</w:t>
      </w:r>
      <w:r>
        <w:rPr>
          <w:rFonts w:ascii="Calibri" w:hAnsi="Calibri" w:cs="Calibri"/>
        </w:rPr>
        <w:t>r juridisk holdbar</w:t>
      </w:r>
      <w:r w:rsidR="006B551C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r w:rsidR="006B551C">
        <w:rPr>
          <w:rFonts w:ascii="Calibri" w:hAnsi="Calibri" w:cs="Calibri"/>
        </w:rPr>
        <w:t>D</w:t>
      </w:r>
      <w:r>
        <w:rPr>
          <w:rFonts w:ascii="Calibri" w:hAnsi="Calibri" w:cs="Calibri"/>
        </w:rPr>
        <w:t>er blev henvist til at proceduren er almindelig for mange websider. Udvalget ville dog foretrække en eksplicit logning af godkendelsen af deponeringsaftalen.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Det blev spurgt om der var retslig præcedens på området, og det må man i givet fald spørge en advokat om.</w:t>
      </w:r>
    </w:p>
    <w:p w:rsidR="004C2074" w:rsidRDefault="004C2074" w:rsidP="00FA2EDC">
      <w:pPr>
        <w:pStyle w:val="NormalWeb"/>
        <w:numPr>
          <w:ilvl w:val="2"/>
          <w:numId w:val="8"/>
        </w:numPr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ASC spørger den tekniske arbejdsgruppe om muligheder for eksplicit logning og fremsender en anbefaling til styregruppen til beslutning.</w:t>
      </w:r>
    </w:p>
    <w:p w:rsidR="006B551C" w:rsidRDefault="006B551C" w:rsidP="006B551C">
      <w:p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</w:p>
    <w:p w:rsidR="004C2074" w:rsidRDefault="004C2074" w:rsidP="004C2074">
      <w:pPr>
        <w:numPr>
          <w:ilvl w:val="1"/>
          <w:numId w:val="8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Accept af slutbrugerlicenser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 xml:space="preserve">Den foreslåede procedure </w:t>
      </w:r>
      <w:r w:rsidR="006B551C">
        <w:rPr>
          <w:rFonts w:ascii="Calibri" w:hAnsi="Calibri" w:cs="Calibri"/>
        </w:rPr>
        <w:t>blev</w:t>
      </w:r>
      <w:r>
        <w:rPr>
          <w:rFonts w:ascii="Calibri" w:hAnsi="Calibri" w:cs="Calibri"/>
        </w:rPr>
        <w:t xml:space="preserve"> godkendt af udvalget og kan sendes til beslutning i styregruppen.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4C2074" w:rsidRDefault="004C2074" w:rsidP="004C2074">
      <w:pPr>
        <w:numPr>
          <w:ilvl w:val="0"/>
          <w:numId w:val="9"/>
        </w:num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De to resterende dokumenter: generelle betingelser og privatlivspolitik (input fra LTJ)</w:t>
      </w:r>
    </w:p>
    <w:p w:rsidR="006B551C" w:rsidRDefault="006B551C" w:rsidP="006B551C">
      <w:p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</w:p>
    <w:p w:rsidR="004C2074" w:rsidRDefault="004C2074" w:rsidP="004C2074">
      <w:pPr>
        <w:numPr>
          <w:ilvl w:val="1"/>
          <w:numId w:val="10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Beslutning om fremgangsmåde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 xml:space="preserve">LTJ har fremsendt eksempler fra Ordnet.dk og fra </w:t>
      </w:r>
      <w:proofErr w:type="spellStart"/>
      <w:r>
        <w:rPr>
          <w:rFonts w:ascii="Calibri" w:hAnsi="Calibri" w:cs="Calibri"/>
        </w:rPr>
        <w:t>Clarin.eu</w:t>
      </w:r>
      <w:proofErr w:type="spellEnd"/>
      <w:r>
        <w:rPr>
          <w:rFonts w:ascii="Calibri" w:hAnsi="Calibri" w:cs="Calibri"/>
        </w:rPr>
        <w:t>. Udvalget syn</w:t>
      </w:r>
      <w:r w:rsidR="006B551C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es </w:t>
      </w:r>
      <w:r w:rsidR="006B551C">
        <w:rPr>
          <w:rFonts w:ascii="Calibri" w:hAnsi="Calibri" w:cs="Calibri"/>
        </w:rPr>
        <w:t xml:space="preserve">at </w:t>
      </w:r>
      <w:proofErr w:type="spellStart"/>
      <w:r>
        <w:rPr>
          <w:rFonts w:ascii="Calibri" w:hAnsi="Calibri" w:cs="Calibri"/>
        </w:rPr>
        <w:t>Ordnet-eksemplet</w:t>
      </w:r>
      <w:proofErr w:type="spellEnd"/>
      <w:r>
        <w:rPr>
          <w:rFonts w:ascii="Calibri" w:hAnsi="Calibri" w:cs="Calibri"/>
        </w:rPr>
        <w:t xml:space="preserve"> </w:t>
      </w:r>
      <w:r w:rsidR="006B551C">
        <w:rPr>
          <w:rFonts w:ascii="Calibri" w:hAnsi="Calibri" w:cs="Calibri"/>
        </w:rPr>
        <w:t>er</w:t>
      </w:r>
      <w:r>
        <w:rPr>
          <w:rFonts w:ascii="Calibri" w:hAnsi="Calibri" w:cs="Calibri"/>
        </w:rPr>
        <w:t xml:space="preserve"> meget pædagogisk. </w:t>
      </w:r>
    </w:p>
    <w:p w:rsidR="004C2074" w:rsidRDefault="004C2074" w:rsidP="00FA2EDC">
      <w:pPr>
        <w:pStyle w:val="NormalWeb"/>
        <w:numPr>
          <w:ilvl w:val="2"/>
          <w:numId w:val="10"/>
        </w:numPr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HF</w:t>
      </w:r>
      <w:r w:rsidR="00FA2EDC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vil gerne lave udkast til generelle betingelser. Udvalget viderebehandler pr. </w:t>
      </w:r>
      <w:proofErr w:type="spellStart"/>
      <w:r>
        <w:rPr>
          <w:rFonts w:ascii="Calibri" w:hAnsi="Calibri" w:cs="Calibri"/>
        </w:rPr>
        <w:t>email</w:t>
      </w:r>
      <w:proofErr w:type="spellEnd"/>
      <w:r>
        <w:rPr>
          <w:rFonts w:ascii="Calibri" w:hAnsi="Calibri" w:cs="Calibri"/>
        </w:rPr>
        <w:t>.</w:t>
      </w:r>
    </w:p>
    <w:p w:rsidR="004C2074" w:rsidRDefault="004C2074" w:rsidP="00FA2EDC">
      <w:pPr>
        <w:pStyle w:val="NormalWeb"/>
        <w:numPr>
          <w:ilvl w:val="2"/>
          <w:numId w:val="10"/>
        </w:numPr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LTJ laver udkast til privatlivspolitik på grundlag af </w:t>
      </w:r>
      <w:proofErr w:type="spellStart"/>
      <w:r>
        <w:rPr>
          <w:rFonts w:ascii="Calibri" w:hAnsi="Calibri" w:cs="Calibri"/>
        </w:rPr>
        <w:t>Ordne</w:t>
      </w:r>
      <w:r w:rsidR="006B551C">
        <w:rPr>
          <w:rFonts w:ascii="Calibri" w:hAnsi="Calibri" w:cs="Calibri"/>
        </w:rPr>
        <w:t>t-politikken</w:t>
      </w:r>
      <w:proofErr w:type="spellEnd"/>
      <w:r w:rsidR="006B551C">
        <w:rPr>
          <w:rFonts w:ascii="Calibri" w:hAnsi="Calibri" w:cs="Calibri"/>
        </w:rPr>
        <w:t>. Udvalget viderebehandler</w:t>
      </w:r>
      <w:r>
        <w:rPr>
          <w:rFonts w:ascii="Calibri" w:hAnsi="Calibri" w:cs="Calibri"/>
        </w:rPr>
        <w:t xml:space="preserve"> pr. mail.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4C2074" w:rsidRDefault="004C2074" w:rsidP="004C2074">
      <w:pPr>
        <w:numPr>
          <w:ilvl w:val="0"/>
          <w:numId w:val="11"/>
        </w:num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RES-licenser</w:t>
      </w:r>
      <w:proofErr w:type="spellEnd"/>
      <w:r>
        <w:rPr>
          <w:rFonts w:ascii="Calibri" w:eastAsia="Times New Roman" w:hAnsi="Calibri" w:cs="Calibri"/>
        </w:rPr>
        <w:t xml:space="preserve"> og aftaler vedr. personlige data</w:t>
      </w:r>
    </w:p>
    <w:p w:rsidR="006B551C" w:rsidRDefault="006B551C" w:rsidP="006B551C">
      <w:p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</w:p>
    <w:p w:rsidR="004C2074" w:rsidRDefault="004C2074" w:rsidP="004C2074">
      <w:pPr>
        <w:numPr>
          <w:ilvl w:val="1"/>
          <w:numId w:val="12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proofErr w:type="gramStart"/>
      <w:r>
        <w:rPr>
          <w:rFonts w:ascii="Calibri" w:eastAsia="Times New Roman" w:hAnsi="Calibri" w:cs="Calibri"/>
        </w:rPr>
        <w:t>hvordan skal det styres?</w:t>
      </w:r>
      <w:proofErr w:type="gramEnd"/>
      <w:r>
        <w:rPr>
          <w:rFonts w:ascii="Calibri" w:eastAsia="Times New Roman" w:hAnsi="Calibri" w:cs="Calibri"/>
        </w:rPr>
        <w:t xml:space="preserve"> (Tidligere input fra Frans</w:t>
      </w:r>
      <w:r w:rsidR="006B551C">
        <w:rPr>
          <w:rFonts w:ascii="Calibri" w:eastAsia="Times New Roman" w:hAnsi="Calibri" w:cs="Calibri"/>
        </w:rPr>
        <w:t xml:space="preserve"> Gregersen</w:t>
      </w:r>
      <w:r>
        <w:rPr>
          <w:rFonts w:ascii="Calibri" w:eastAsia="Times New Roman" w:hAnsi="Calibri" w:cs="Calibri"/>
        </w:rPr>
        <w:t>)</w:t>
      </w:r>
    </w:p>
    <w:p w:rsidR="006B551C" w:rsidRPr="00FA2EDC" w:rsidRDefault="006B551C" w:rsidP="006B551C">
      <w:p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Det nævnte input fra Frans Gregersen var en samtykkeerklæring, og det var udvalgets opfattelse af denne var dækket af den vedtagne </w:t>
      </w:r>
      <w:r w:rsidR="00FA2EDC" w:rsidRPr="00FA2EDC">
        <w:rPr>
          <w:rFonts w:ascii="Calibri" w:eastAsia="Times New Roman" w:hAnsi="Calibri" w:cs="Calibri"/>
          <w:b/>
          <w:bCs/>
          <w:i/>
          <w:iCs/>
        </w:rPr>
        <w:t xml:space="preserve">Guidelines for </w:t>
      </w:r>
      <w:proofErr w:type="spellStart"/>
      <w:r w:rsidR="00FA2EDC" w:rsidRPr="00FA2EDC">
        <w:rPr>
          <w:rFonts w:ascii="Calibri" w:eastAsia="Times New Roman" w:hAnsi="Calibri" w:cs="Calibri"/>
          <w:b/>
          <w:bCs/>
          <w:i/>
          <w:iCs/>
        </w:rPr>
        <w:t>Consent</w:t>
      </w:r>
      <w:proofErr w:type="spellEnd"/>
      <w:r w:rsidR="00FA2EDC" w:rsidRPr="00FA2EDC">
        <w:rPr>
          <w:rFonts w:ascii="Calibri" w:eastAsia="Times New Roman" w:hAnsi="Calibri" w:cs="Calibri"/>
          <w:b/>
          <w:bCs/>
          <w:i/>
          <w:iCs/>
        </w:rPr>
        <w:t xml:space="preserve"> Forms for </w:t>
      </w:r>
      <w:proofErr w:type="spellStart"/>
      <w:r w:rsidR="00FA2EDC" w:rsidRPr="00FA2EDC">
        <w:rPr>
          <w:rFonts w:ascii="Calibri" w:eastAsia="Times New Roman" w:hAnsi="Calibri" w:cs="Calibri"/>
          <w:b/>
          <w:bCs/>
          <w:i/>
          <w:iCs/>
        </w:rPr>
        <w:t>Collecting</w:t>
      </w:r>
      <w:proofErr w:type="spellEnd"/>
      <w:r w:rsidR="00FA2EDC" w:rsidRPr="00FA2EDC">
        <w:rPr>
          <w:rFonts w:ascii="Calibri" w:eastAsia="Times New Roman" w:hAnsi="Calibri" w:cs="Calibri"/>
          <w:b/>
          <w:bCs/>
          <w:i/>
          <w:iCs/>
        </w:rPr>
        <w:t xml:space="preserve"> </w:t>
      </w:r>
      <w:proofErr w:type="spellStart"/>
      <w:r w:rsidR="00FA2EDC" w:rsidRPr="00FA2EDC">
        <w:rPr>
          <w:rFonts w:ascii="Calibri" w:eastAsia="Times New Roman" w:hAnsi="Calibri" w:cs="Calibri"/>
          <w:b/>
          <w:bCs/>
          <w:i/>
          <w:iCs/>
        </w:rPr>
        <w:t>Personal</w:t>
      </w:r>
      <w:proofErr w:type="spellEnd"/>
      <w:r w:rsidR="00FA2EDC" w:rsidRPr="00FA2EDC">
        <w:rPr>
          <w:rFonts w:ascii="Calibri" w:eastAsia="Times New Roman" w:hAnsi="Calibri" w:cs="Calibri"/>
          <w:b/>
          <w:bCs/>
          <w:i/>
          <w:iCs/>
        </w:rPr>
        <w:t xml:space="preserve"> Data</w:t>
      </w:r>
      <w:r w:rsidR="00FA2EDC">
        <w:rPr>
          <w:rFonts w:ascii="Calibri" w:eastAsia="Times New Roman" w:hAnsi="Calibri" w:cs="Calibri"/>
          <w:b/>
          <w:bCs/>
          <w:i/>
          <w:iCs/>
        </w:rPr>
        <w:t>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 xml:space="preserve">Udvalget mener ikke at have flere opgaver omkring </w:t>
      </w:r>
      <w:proofErr w:type="spellStart"/>
      <w:r>
        <w:rPr>
          <w:rFonts w:ascii="Calibri" w:hAnsi="Calibri" w:cs="Calibri"/>
        </w:rPr>
        <w:t>RES-resurser</w:t>
      </w:r>
      <w:proofErr w:type="spellEnd"/>
      <w:r>
        <w:rPr>
          <w:rFonts w:ascii="Calibri" w:hAnsi="Calibri" w:cs="Calibri"/>
        </w:rPr>
        <w:t>.</w:t>
      </w:r>
    </w:p>
    <w:p w:rsidR="004C2074" w:rsidRDefault="004C2074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 </w:t>
      </w:r>
    </w:p>
    <w:p w:rsidR="004C2074" w:rsidRDefault="004C2074" w:rsidP="004C2074">
      <w:pPr>
        <w:numPr>
          <w:ilvl w:val="0"/>
          <w:numId w:val="13"/>
        </w:num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proofErr w:type="spellStart"/>
      <w:r>
        <w:rPr>
          <w:rFonts w:ascii="Calibri" w:eastAsia="Times New Roman" w:hAnsi="Calibri" w:cs="Calibri"/>
        </w:rPr>
        <w:t>Tools</w:t>
      </w:r>
      <w:proofErr w:type="spellEnd"/>
      <w:r>
        <w:rPr>
          <w:rFonts w:ascii="Calibri" w:eastAsia="Times New Roman" w:hAnsi="Calibri" w:cs="Calibri"/>
        </w:rPr>
        <w:t xml:space="preserve"> (input fra ASC til forrige møde)</w:t>
      </w:r>
    </w:p>
    <w:p w:rsidR="000626FA" w:rsidRDefault="000626FA" w:rsidP="000626FA">
      <w:p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</w:p>
    <w:p w:rsidR="00FA2EDC" w:rsidRDefault="00FA2EDC" w:rsidP="00FA2EDC">
      <w:p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ASC gjorde rede for problemst</w:t>
      </w:r>
      <w:r w:rsidR="00234B47">
        <w:rPr>
          <w:rFonts w:ascii="Calibri" w:eastAsia="Times New Roman" w:hAnsi="Calibri" w:cs="Calibri"/>
        </w:rPr>
        <w:t xml:space="preserve">illingerne for </w:t>
      </w:r>
      <w:proofErr w:type="spellStart"/>
      <w:r w:rsidR="00234B47">
        <w:rPr>
          <w:rFonts w:ascii="Calibri" w:eastAsia="Times New Roman" w:hAnsi="Calibri" w:cs="Calibri"/>
        </w:rPr>
        <w:t>Tools</w:t>
      </w:r>
      <w:proofErr w:type="spellEnd"/>
      <w:r w:rsidR="00234B47">
        <w:rPr>
          <w:rFonts w:ascii="Calibri" w:eastAsia="Times New Roman" w:hAnsi="Calibri" w:cs="Calibri"/>
        </w:rPr>
        <w:t xml:space="preserve"> ved tavlen, og der blev diskuteret problemer omkring værktøjers integration </w:t>
      </w:r>
      <w:proofErr w:type="gramStart"/>
      <w:r w:rsidR="00234B47">
        <w:rPr>
          <w:rFonts w:ascii="Calibri" w:eastAsia="Times New Roman" w:hAnsi="Calibri" w:cs="Calibri"/>
        </w:rPr>
        <w:t>i  Clarin</w:t>
      </w:r>
      <w:proofErr w:type="gramEnd"/>
      <w:r w:rsidR="00234B47">
        <w:rPr>
          <w:rFonts w:ascii="Calibri" w:eastAsia="Times New Roman" w:hAnsi="Calibri" w:cs="Calibri"/>
        </w:rPr>
        <w:t xml:space="preserve">.dk, og hvordan eksterne værktøjer tilgår data i Clarin.dk </w:t>
      </w:r>
      <w:proofErr w:type="spellStart"/>
      <w:r w:rsidR="00234B47">
        <w:rPr>
          <w:rFonts w:ascii="Calibri" w:eastAsia="Times New Roman" w:hAnsi="Calibri" w:cs="Calibri"/>
        </w:rPr>
        <w:t>repositoriet</w:t>
      </w:r>
      <w:proofErr w:type="spellEnd"/>
      <w:r w:rsidR="00234B47">
        <w:rPr>
          <w:rFonts w:ascii="Calibri" w:eastAsia="Times New Roman" w:hAnsi="Calibri" w:cs="Calibri"/>
        </w:rPr>
        <w:t>.</w:t>
      </w:r>
    </w:p>
    <w:p w:rsidR="004C2074" w:rsidRDefault="004C2074" w:rsidP="004C2074">
      <w:pPr>
        <w:numPr>
          <w:ilvl w:val="1"/>
          <w:numId w:val="14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Er de parter, der afvikler værktøjer, 3. part i relation til de vedtagne datalicenser?</w:t>
      </w:r>
    </w:p>
    <w:p w:rsidR="004C2074" w:rsidRDefault="004C2074" w:rsidP="00FA2EDC">
      <w:pPr>
        <w:pStyle w:val="NormalWeb"/>
        <w:spacing w:before="0" w:beforeAutospacing="0" w:after="0" w:afterAutospacing="0"/>
        <w:ind w:left="1004"/>
        <w:rPr>
          <w:rFonts w:ascii="Calibri" w:hAnsi="Calibri" w:cs="Calibri"/>
        </w:rPr>
      </w:pPr>
      <w:r>
        <w:rPr>
          <w:rFonts w:ascii="Calibri" w:hAnsi="Calibri" w:cs="Calibri"/>
        </w:rPr>
        <w:t>H</w:t>
      </w:r>
      <w:r w:rsidR="00FA2EDC">
        <w:rPr>
          <w:rFonts w:ascii="Calibri" w:hAnsi="Calibri" w:cs="Calibri"/>
        </w:rPr>
        <w:t>FG</w:t>
      </w:r>
      <w:r>
        <w:rPr>
          <w:rFonts w:ascii="Calibri" w:hAnsi="Calibri" w:cs="Calibri"/>
        </w:rPr>
        <w:t xml:space="preserve"> men</w:t>
      </w:r>
      <w:r w:rsidR="00FA2EDC">
        <w:rPr>
          <w:rFonts w:ascii="Calibri" w:hAnsi="Calibri" w:cs="Calibri"/>
        </w:rPr>
        <w:t>t</w:t>
      </w:r>
      <w:r>
        <w:rPr>
          <w:rFonts w:ascii="Calibri" w:hAnsi="Calibri" w:cs="Calibri"/>
        </w:rPr>
        <w:t xml:space="preserve">e at værktøjsudbydere er 3. parter i forhold til </w:t>
      </w:r>
      <w:proofErr w:type="spellStart"/>
      <w:r>
        <w:rPr>
          <w:rFonts w:ascii="Calibri" w:hAnsi="Calibri" w:cs="Calibri"/>
        </w:rPr>
        <w:t>Clarin</w:t>
      </w:r>
      <w:proofErr w:type="spellEnd"/>
      <w:r>
        <w:rPr>
          <w:rFonts w:ascii="Calibri" w:hAnsi="Calibri" w:cs="Calibri"/>
        </w:rPr>
        <w:t xml:space="preserve">, og </w:t>
      </w:r>
      <w:r w:rsidR="00342A38">
        <w:rPr>
          <w:rFonts w:ascii="Calibri" w:hAnsi="Calibri" w:cs="Calibri"/>
        </w:rPr>
        <w:t xml:space="preserve">at </w:t>
      </w:r>
      <w:r>
        <w:rPr>
          <w:rFonts w:ascii="Calibri" w:hAnsi="Calibri" w:cs="Calibri"/>
        </w:rPr>
        <w:t>der derfor skal indgås en separat aftale ved deponering. H</w:t>
      </w:r>
      <w:r w:rsidR="00234B47">
        <w:rPr>
          <w:rFonts w:ascii="Calibri" w:hAnsi="Calibri" w:cs="Calibri"/>
        </w:rPr>
        <w:t>FG understregede</w:t>
      </w:r>
      <w:r>
        <w:rPr>
          <w:rFonts w:ascii="Calibri" w:hAnsi="Calibri" w:cs="Calibri"/>
        </w:rPr>
        <w:t xml:space="preserve"> </w:t>
      </w:r>
      <w:r w:rsidR="00342A38">
        <w:rPr>
          <w:rFonts w:ascii="Calibri" w:hAnsi="Calibri" w:cs="Calibri"/>
        </w:rPr>
        <w:t>at</w:t>
      </w:r>
      <w:r w:rsidR="00234B47">
        <w:rPr>
          <w:rFonts w:ascii="Calibri" w:hAnsi="Calibri" w:cs="Calibri"/>
        </w:rPr>
        <w:t xml:space="preserve"> den valgte arkitektur ikke er hensigtsmæssig og bør ændres</w:t>
      </w:r>
      <w:r w:rsidR="00342A38">
        <w:rPr>
          <w:rFonts w:ascii="Calibri" w:hAnsi="Calibri" w:cs="Calibri"/>
        </w:rPr>
        <w:t xml:space="preserve"> hurtigst muligt</w:t>
      </w:r>
      <w:r>
        <w:rPr>
          <w:rFonts w:ascii="Calibri" w:hAnsi="Calibri" w:cs="Calibri"/>
        </w:rPr>
        <w:t xml:space="preserve">. </w:t>
      </w:r>
      <w:r w:rsidR="00C013BF">
        <w:rPr>
          <w:rFonts w:ascii="Calibri" w:hAnsi="Calibri" w:cs="Calibri"/>
        </w:rPr>
        <w:t xml:space="preserve">ASC forklarede at der ikke er resurser til at foretage ændringer af </w:t>
      </w:r>
      <w:proofErr w:type="spellStart"/>
      <w:r w:rsidR="00C013BF">
        <w:rPr>
          <w:rFonts w:ascii="Calibri" w:hAnsi="Calibri" w:cs="Calibri"/>
        </w:rPr>
        <w:t>Tools</w:t>
      </w:r>
      <w:proofErr w:type="spellEnd"/>
      <w:r w:rsidR="00C013BF">
        <w:rPr>
          <w:rFonts w:ascii="Calibri" w:hAnsi="Calibri" w:cs="Calibri"/>
        </w:rPr>
        <w:t xml:space="preserve"> inden for projektperioden. Værktøjer i </w:t>
      </w:r>
      <w:proofErr w:type="spellStart"/>
      <w:r w:rsidR="00C013BF">
        <w:rPr>
          <w:rFonts w:ascii="Calibri" w:hAnsi="Calibri" w:cs="Calibri"/>
        </w:rPr>
        <w:t>Tools</w:t>
      </w:r>
      <w:proofErr w:type="spellEnd"/>
      <w:r w:rsidR="00C013BF">
        <w:rPr>
          <w:rFonts w:ascii="Calibri" w:hAnsi="Calibri" w:cs="Calibri"/>
        </w:rPr>
        <w:t xml:space="preserve"> bliver ”deponeret” i form af en registrering af deres metadata i </w:t>
      </w:r>
      <w:proofErr w:type="spellStart"/>
      <w:r w:rsidR="00C013BF">
        <w:rPr>
          <w:rFonts w:ascii="Calibri" w:hAnsi="Calibri" w:cs="Calibri"/>
        </w:rPr>
        <w:t>repositoriet</w:t>
      </w:r>
      <w:proofErr w:type="spellEnd"/>
      <w:r w:rsidR="00C013BF">
        <w:rPr>
          <w:rFonts w:ascii="Calibri" w:hAnsi="Calibri" w:cs="Calibri"/>
        </w:rPr>
        <w:t xml:space="preserve">, selv om værktøjet fysisk er placeret uden for Clarin.dk. Der var derfor enighed om at </w:t>
      </w:r>
      <w:r w:rsidR="00234B47">
        <w:rPr>
          <w:rFonts w:ascii="Calibri" w:hAnsi="Calibri" w:cs="Calibri"/>
        </w:rPr>
        <w:t>problemet</w:t>
      </w:r>
      <w:r w:rsidR="00C013BF">
        <w:rPr>
          <w:rFonts w:ascii="Calibri" w:hAnsi="Calibri" w:cs="Calibri"/>
        </w:rPr>
        <w:t xml:space="preserve"> kan </w:t>
      </w:r>
      <w:r>
        <w:rPr>
          <w:rFonts w:ascii="Calibri" w:hAnsi="Calibri" w:cs="Calibri"/>
        </w:rPr>
        <w:t xml:space="preserve">løses </w:t>
      </w:r>
      <w:r w:rsidR="00C013BF">
        <w:rPr>
          <w:rFonts w:ascii="Calibri" w:hAnsi="Calibri" w:cs="Calibri"/>
        </w:rPr>
        <w:t xml:space="preserve">her og nu </w:t>
      </w:r>
      <w:r>
        <w:rPr>
          <w:rFonts w:ascii="Calibri" w:hAnsi="Calibri" w:cs="Calibri"/>
        </w:rPr>
        <w:t xml:space="preserve">med en deponeringsaftale vedr. </w:t>
      </w:r>
      <w:r w:rsidR="00342A38">
        <w:rPr>
          <w:rFonts w:ascii="Calibri" w:hAnsi="Calibri" w:cs="Calibri"/>
        </w:rPr>
        <w:t>værktøjer</w:t>
      </w:r>
      <w:r w:rsidR="00C013BF">
        <w:rPr>
          <w:rFonts w:ascii="Calibri" w:hAnsi="Calibri" w:cs="Calibri"/>
        </w:rPr>
        <w:t xml:space="preserve"> som forpligter værktøjsudbyderen i forhold til at beskytte data der hentes fra </w:t>
      </w:r>
      <w:proofErr w:type="spellStart"/>
      <w:r w:rsidR="00C013BF">
        <w:rPr>
          <w:rFonts w:ascii="Calibri" w:hAnsi="Calibri" w:cs="Calibri"/>
        </w:rPr>
        <w:t>repositoriet</w:t>
      </w:r>
      <w:proofErr w:type="spellEnd"/>
      <w:r w:rsidR="00342A38">
        <w:rPr>
          <w:rFonts w:ascii="Calibri" w:hAnsi="Calibri" w:cs="Calibri"/>
        </w:rPr>
        <w:t>. Der er ikke umiddelbart</w:t>
      </w:r>
      <w:r>
        <w:rPr>
          <w:rFonts w:ascii="Calibri" w:hAnsi="Calibri" w:cs="Calibri"/>
        </w:rPr>
        <w:t xml:space="preserve"> kræfter </w:t>
      </w:r>
      <w:r w:rsidR="00FA2EDC">
        <w:rPr>
          <w:rFonts w:ascii="Calibri" w:hAnsi="Calibri" w:cs="Calibri"/>
        </w:rPr>
        <w:t xml:space="preserve">i udvalget </w:t>
      </w:r>
      <w:r>
        <w:rPr>
          <w:rFonts w:ascii="Calibri" w:hAnsi="Calibri" w:cs="Calibri"/>
        </w:rPr>
        <w:t>til at gå i gang med dette.</w:t>
      </w:r>
      <w:r w:rsidR="00FA2EDC">
        <w:rPr>
          <w:rFonts w:ascii="Calibri" w:hAnsi="Calibri" w:cs="Calibri"/>
        </w:rPr>
        <w:t xml:space="preserve"> </w:t>
      </w:r>
      <w:r w:rsidR="00342A38">
        <w:rPr>
          <w:rFonts w:ascii="Calibri" w:hAnsi="Calibri" w:cs="Calibri"/>
        </w:rPr>
        <w:t>Opgaven</w:t>
      </w:r>
      <w:r w:rsidR="00FA2EDC">
        <w:rPr>
          <w:rFonts w:ascii="Calibri" w:hAnsi="Calibri" w:cs="Calibri"/>
        </w:rPr>
        <w:t xml:space="preserve"> må</w:t>
      </w:r>
      <w:r w:rsidR="00342A38">
        <w:rPr>
          <w:rFonts w:ascii="Calibri" w:hAnsi="Calibri" w:cs="Calibri"/>
        </w:rPr>
        <w:t xml:space="preserve"> derfor</w:t>
      </w:r>
      <w:r w:rsidR="00FA2EDC">
        <w:rPr>
          <w:rFonts w:ascii="Calibri" w:hAnsi="Calibri" w:cs="Calibri"/>
        </w:rPr>
        <w:t xml:space="preserve"> stå over til næste møde.</w:t>
      </w:r>
    </w:p>
    <w:p w:rsidR="004C2074" w:rsidRDefault="004C2074" w:rsidP="004C2074">
      <w:pPr>
        <w:numPr>
          <w:ilvl w:val="1"/>
          <w:numId w:val="15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Må værktøjer få adgang til ACA resurser? </w:t>
      </w:r>
    </w:p>
    <w:p w:rsidR="00FA2EDC" w:rsidRDefault="00FA2EDC" w:rsidP="00FA2EDC">
      <w:p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Spørgsmålet anses for behandlet ved diskussionen under a.</w:t>
      </w:r>
    </w:p>
    <w:p w:rsidR="004C2074" w:rsidRDefault="004C2074" w:rsidP="004C2074">
      <w:pPr>
        <w:numPr>
          <w:ilvl w:val="1"/>
          <w:numId w:val="16"/>
        </w:num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Kræves der også en deponeringsaftale – eller en ”omvendt” Data Processor Agreement? – i forbindelse med registrering af værktøjer?</w:t>
      </w:r>
    </w:p>
    <w:p w:rsidR="00FA2EDC" w:rsidRDefault="00FA2EDC" w:rsidP="00FA2EDC">
      <w:pPr>
        <w:spacing w:after="0" w:line="240" w:lineRule="auto"/>
        <w:ind w:left="100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Også dette spørgsmål var dækket af diskussion og beslutning under a.</w:t>
      </w:r>
    </w:p>
    <w:p w:rsidR="00FA2EDC" w:rsidRDefault="00FA2EDC" w:rsidP="00FA2EDC">
      <w:p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</w:p>
    <w:p w:rsidR="004C2074" w:rsidRDefault="004C2074" w:rsidP="004C2074">
      <w:pPr>
        <w:numPr>
          <w:ilvl w:val="0"/>
          <w:numId w:val="17"/>
        </w:num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lastRenderedPageBreak/>
        <w:t xml:space="preserve">Hvor/hvordan skal det fulde juridiske </w:t>
      </w:r>
      <w:proofErr w:type="spellStart"/>
      <w:r>
        <w:rPr>
          <w:rFonts w:ascii="Calibri" w:eastAsia="Times New Roman" w:hAnsi="Calibri" w:cs="Calibri"/>
        </w:rPr>
        <w:t>dokumentsæt</w:t>
      </w:r>
      <w:proofErr w:type="spellEnd"/>
      <w:r>
        <w:rPr>
          <w:rFonts w:ascii="Calibri" w:eastAsia="Times New Roman" w:hAnsi="Calibri" w:cs="Calibri"/>
        </w:rPr>
        <w:t xml:space="preserve"> stilles til rådighed i infrastrukturen?</w:t>
      </w:r>
    </w:p>
    <w:p w:rsidR="00FA2EDC" w:rsidRDefault="00FA2EDC" w:rsidP="00FA2EDC">
      <w:p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Udsat til næste møde.</w:t>
      </w:r>
    </w:p>
    <w:p w:rsidR="00FA2EDC" w:rsidRDefault="00FA2EDC" w:rsidP="00FA2EDC">
      <w:p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</w:p>
    <w:p w:rsidR="004C2074" w:rsidRDefault="004C2074" w:rsidP="004C2074">
      <w:pPr>
        <w:numPr>
          <w:ilvl w:val="0"/>
          <w:numId w:val="18"/>
        </w:numPr>
        <w:spacing w:after="0" w:line="240" w:lineRule="auto"/>
        <w:ind w:left="464"/>
        <w:textAlignment w:val="center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Plan for afrunding af gruppens arbejde</w:t>
      </w:r>
    </w:p>
    <w:p w:rsidR="00FA2EDC" w:rsidRDefault="00FA2EDC">
      <w:pPr>
        <w:pStyle w:val="NormalWeb"/>
        <w:spacing w:before="0" w:beforeAutospacing="0" w:after="0" w:afterAutospacing="0"/>
        <w:ind w:left="464"/>
        <w:rPr>
          <w:rFonts w:ascii="Calibri" w:hAnsi="Calibri" w:cs="Calibri"/>
        </w:rPr>
      </w:pPr>
      <w:r>
        <w:rPr>
          <w:rFonts w:ascii="Calibri" w:hAnsi="Calibri" w:cs="Calibri"/>
        </w:rPr>
        <w:t>Udvalget</w:t>
      </w:r>
      <w:r w:rsidR="004C2074">
        <w:rPr>
          <w:rFonts w:ascii="Calibri" w:hAnsi="Calibri" w:cs="Calibri"/>
        </w:rPr>
        <w:t xml:space="preserve"> mødes igen i starten af maj. </w:t>
      </w:r>
    </w:p>
    <w:p w:rsidR="004C2074" w:rsidRDefault="00FA2EDC" w:rsidP="00FA2EDC">
      <w:pPr>
        <w:pStyle w:val="NormalWeb"/>
        <w:numPr>
          <w:ilvl w:val="2"/>
          <w:numId w:val="18"/>
        </w:numPr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C013BF">
        <w:rPr>
          <w:rFonts w:ascii="Calibri" w:hAnsi="Calibri" w:cs="Calibri"/>
        </w:rPr>
        <w:t>SC</w:t>
      </w:r>
      <w:r w:rsidR="004C2074">
        <w:rPr>
          <w:rFonts w:ascii="Calibri" w:hAnsi="Calibri" w:cs="Calibri"/>
        </w:rPr>
        <w:t xml:space="preserve"> udsender en </w:t>
      </w:r>
      <w:proofErr w:type="spellStart"/>
      <w:r w:rsidR="004C2074">
        <w:rPr>
          <w:rFonts w:ascii="Calibri" w:hAnsi="Calibri" w:cs="Calibri"/>
        </w:rPr>
        <w:t>Doodle</w:t>
      </w:r>
      <w:proofErr w:type="spellEnd"/>
      <w:r w:rsidR="004C2074">
        <w:rPr>
          <w:rFonts w:ascii="Calibri" w:hAnsi="Calibri" w:cs="Calibri"/>
        </w:rPr>
        <w:t>.</w:t>
      </w:r>
    </w:p>
    <w:p w:rsidR="00834F2E" w:rsidRDefault="00834F2E"/>
    <w:sectPr w:rsidR="00834F2E" w:rsidSect="006B551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77EC3"/>
    <w:multiLevelType w:val="multilevel"/>
    <w:tmpl w:val="F3AA8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"/>
      <w:lvlJc w:val="left"/>
      <w:pPr>
        <w:ind w:left="2160" w:hanging="360"/>
      </w:pPr>
      <w:rPr>
        <w:rFonts w:ascii="Wingdings" w:eastAsiaTheme="minorEastAsia" w:hAnsi="Wingdings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/>
    <w:lvlOverride w:ilvl="1">
      <w:startOverride w:val="1"/>
    </w:lvlOverride>
  </w:num>
  <w:num w:numId="4">
    <w:abstractNumId w:val="0"/>
    <w:lvlOverride w:ilvl="0"/>
    <w:lvlOverride w:ilvl="1">
      <w:startOverride w:val="2"/>
    </w:lvlOverride>
  </w:num>
  <w:num w:numId="5">
    <w:abstractNumId w:val="0"/>
    <w:lvlOverride w:ilvl="0"/>
    <w:lvlOverride w:ilvl="1">
      <w:startOverride w:val="3"/>
    </w:lvlOverride>
  </w:num>
  <w:num w:numId="6">
    <w:abstractNumId w:val="0"/>
    <w:lvlOverride w:ilvl="0">
      <w:startOverride w:val="3"/>
    </w:lvlOverride>
    <w:lvlOverride w:ilvl="1"/>
  </w:num>
  <w:num w:numId="7">
    <w:abstractNumId w:val="0"/>
    <w:lvlOverride w:ilvl="0"/>
    <w:lvlOverride w:ilvl="1">
      <w:startOverride w:val="1"/>
    </w:lvlOverride>
  </w:num>
  <w:num w:numId="8">
    <w:abstractNumId w:val="0"/>
    <w:lvlOverride w:ilvl="0"/>
    <w:lvlOverride w:ilvl="1">
      <w:startOverride w:val="2"/>
    </w:lvlOverride>
  </w:num>
  <w:num w:numId="9">
    <w:abstractNumId w:val="0"/>
    <w:lvlOverride w:ilvl="0">
      <w:startOverride w:val="4"/>
    </w:lvlOverride>
    <w:lvlOverride w:ilvl="1"/>
  </w:num>
  <w:num w:numId="10">
    <w:abstractNumId w:val="0"/>
    <w:lvlOverride w:ilvl="0"/>
    <w:lvlOverride w:ilvl="1">
      <w:startOverride w:val="1"/>
    </w:lvlOverride>
  </w:num>
  <w:num w:numId="11">
    <w:abstractNumId w:val="0"/>
    <w:lvlOverride w:ilvl="0">
      <w:startOverride w:val="5"/>
    </w:lvlOverride>
    <w:lvlOverride w:ilvl="1"/>
  </w:num>
  <w:num w:numId="12">
    <w:abstractNumId w:val="0"/>
    <w:lvlOverride w:ilvl="0"/>
    <w:lvlOverride w:ilvl="1">
      <w:startOverride w:val="1"/>
    </w:lvlOverride>
  </w:num>
  <w:num w:numId="13">
    <w:abstractNumId w:val="0"/>
    <w:lvlOverride w:ilvl="0">
      <w:startOverride w:val="6"/>
    </w:lvlOverride>
    <w:lvlOverride w:ilvl="1"/>
  </w:num>
  <w:num w:numId="14">
    <w:abstractNumId w:val="0"/>
    <w:lvlOverride w:ilvl="0"/>
    <w:lvlOverride w:ilvl="1">
      <w:startOverride w:val="1"/>
    </w:lvlOverride>
  </w:num>
  <w:num w:numId="15">
    <w:abstractNumId w:val="0"/>
    <w:lvlOverride w:ilvl="0"/>
    <w:lvlOverride w:ilvl="1">
      <w:startOverride w:val="2"/>
    </w:lvlOverride>
  </w:num>
  <w:num w:numId="16">
    <w:abstractNumId w:val="0"/>
    <w:lvlOverride w:ilvl="0"/>
    <w:lvlOverride w:ilvl="1">
      <w:startOverride w:val="3"/>
    </w:lvlOverride>
  </w:num>
  <w:num w:numId="17">
    <w:abstractNumId w:val="0"/>
    <w:lvlOverride w:ilvl="0">
      <w:startOverride w:val="7"/>
    </w:lvlOverride>
    <w:lvlOverride w:ilvl="1"/>
  </w:num>
  <w:num w:numId="18">
    <w:abstractNumId w:val="0"/>
    <w:lvlOverride w:ilvl="0">
      <w:startOverride w:val="8"/>
    </w:lvlOverride>
    <w:lvlOverride w:ilv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4C2074"/>
    <w:rsid w:val="000626FA"/>
    <w:rsid w:val="00234B47"/>
    <w:rsid w:val="0031364F"/>
    <w:rsid w:val="00342A38"/>
    <w:rsid w:val="004C2074"/>
    <w:rsid w:val="006B551C"/>
    <w:rsid w:val="00834F2E"/>
    <w:rsid w:val="00C013BF"/>
    <w:rsid w:val="00FA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F2E"/>
  </w:style>
  <w:style w:type="paragraph" w:styleId="Overskrift1">
    <w:name w:val="heading 1"/>
    <w:basedOn w:val="Normal"/>
    <w:next w:val="Normal"/>
    <w:link w:val="Overskrift1Tegn"/>
    <w:uiPriority w:val="9"/>
    <w:qFormat/>
    <w:rsid w:val="004C20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C20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20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a-DK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C2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4C2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rdskrifttypeiafsnit"/>
    <w:uiPriority w:val="99"/>
    <w:unhideWhenUsed/>
    <w:rsid w:val="006B55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9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vtools.clarin.dk/wiki/Licensh%C3%A5ndte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675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 Conrad</dc:creator>
  <cp:lastModifiedBy>Anders Conrad</cp:lastModifiedBy>
  <cp:revision>4</cp:revision>
  <dcterms:created xsi:type="dcterms:W3CDTF">2011-03-21T08:10:00Z</dcterms:created>
  <dcterms:modified xsi:type="dcterms:W3CDTF">2011-03-21T15:15:00Z</dcterms:modified>
</cp:coreProperties>
</file>